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F5" w:rsidRPr="00502AAD" w:rsidRDefault="00453CF5" w:rsidP="00453C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0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 w:rsidRPr="00502AAD">
        <w:rPr>
          <w:rFonts w:ascii="Times New Roman" w:hAnsi="Times New Roman" w:cs="Times New Roman"/>
          <w:b/>
          <w:sz w:val="28"/>
          <w:szCs w:val="28"/>
        </w:rPr>
        <w:t xml:space="preserve">открытого урока </w:t>
      </w:r>
    </w:p>
    <w:bookmarkEnd w:id="0"/>
    <w:p w:rsidR="00453CF5" w:rsidRDefault="00453CF5" w:rsidP="00453CF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r w:rsidR="004C24D2">
        <w:rPr>
          <w:rFonts w:ascii="Times New Roman" w:hAnsi="Times New Roman" w:cs="Times New Roman"/>
          <w:sz w:val="24"/>
          <w:szCs w:val="24"/>
        </w:rPr>
        <w:t>Титаренко Татьяна Петровна</w:t>
      </w:r>
    </w:p>
    <w:p w:rsidR="00453CF5" w:rsidRDefault="00453CF5" w:rsidP="00453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9</w:t>
      </w:r>
    </w:p>
    <w:p w:rsidR="00453CF5" w:rsidRDefault="00453CF5" w:rsidP="00453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русский язык</w:t>
      </w:r>
    </w:p>
    <w:p w:rsidR="00453CF5" w:rsidRDefault="00453CF5" w:rsidP="00453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определительными </w:t>
      </w:r>
    </w:p>
    <w:p w:rsidR="00453CF5" w:rsidRDefault="00453CF5" w:rsidP="00453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открытие нового знания</w:t>
      </w:r>
    </w:p>
    <w:p w:rsidR="00453CF5" w:rsidRDefault="00453CF5" w:rsidP="00453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знания учащихся о сложноподчиненных предложениях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определительными.</w:t>
      </w:r>
    </w:p>
    <w:p w:rsidR="00453CF5" w:rsidRDefault="00453CF5" w:rsidP="00453CF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3CF5" w:rsidRDefault="00453CF5" w:rsidP="00453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53CF5" w:rsidRDefault="00453CF5" w:rsidP="00453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определительные в сложноподчиненном предложении;</w:t>
      </w:r>
    </w:p>
    <w:p w:rsidR="00453CF5" w:rsidRDefault="00453CF5" w:rsidP="00453CF5">
      <w:pPr>
        <w:pStyle w:val="a4"/>
        <w:spacing w:after="0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определять средства связи </w:t>
      </w:r>
      <w:proofErr w:type="gramStart"/>
      <w:r>
        <w:rPr>
          <w:sz w:val="24"/>
          <w:szCs w:val="24"/>
        </w:rPr>
        <w:t>придаточных</w:t>
      </w:r>
      <w:proofErr w:type="gramEnd"/>
      <w:r>
        <w:rPr>
          <w:sz w:val="24"/>
          <w:szCs w:val="24"/>
        </w:rPr>
        <w:t xml:space="preserve"> определительных с главным предложением;</w:t>
      </w:r>
    </w:p>
    <w:p w:rsidR="00453CF5" w:rsidRDefault="00453CF5" w:rsidP="00453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 xml:space="preserve">закрепить умениярасставлять знаки препинания в СПП, а также составлять схемы  СПП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определительным;</w:t>
      </w:r>
    </w:p>
    <w:p w:rsidR="00453CF5" w:rsidRDefault="00453CF5" w:rsidP="00453C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формировать умение правильно употреблять в речи СПП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определительными, производить их синонимическую замену (если это возможно и необходимо).</w:t>
      </w:r>
    </w:p>
    <w:p w:rsidR="00683118" w:rsidRDefault="00683118" w:rsidP="00453C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читательскую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грвмотность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CF5" w:rsidRDefault="00453CF5" w:rsidP="0045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наглядный, проблемный, частично-поисковый, репродуктивный</w:t>
      </w:r>
    </w:p>
    <w:p w:rsidR="00453CF5" w:rsidRDefault="00453CF5" w:rsidP="0045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:развитие критического мышления через чтение и письмо,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453CF5" w:rsidRDefault="00453CF5" w:rsidP="0045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парная, индивидуальная, групповая</w:t>
      </w:r>
    </w:p>
    <w:p w:rsidR="00453CF5" w:rsidRDefault="00453CF5" w:rsidP="0045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3CF5" w:rsidRDefault="00453CF5" w:rsidP="0045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тетради, раздаточный материал, компьютер, проектор, презентация.</w:t>
      </w:r>
    </w:p>
    <w:p w:rsidR="00453CF5" w:rsidRDefault="00453CF5" w:rsidP="0045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F5" w:rsidRDefault="00453CF5" w:rsidP="0045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Реализуемая программа: </w:t>
      </w:r>
      <w:r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программы. Предметная линия учебников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М. Т. Баранов,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– М.: Просвещение, 2016 </w:t>
      </w:r>
    </w:p>
    <w:p w:rsidR="00453CF5" w:rsidRDefault="00453CF5" w:rsidP="00453C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9 класс: учебник для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организаций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2019.</w:t>
      </w:r>
    </w:p>
    <w:p w:rsidR="00453CF5" w:rsidRDefault="00453CF5" w:rsidP="00453CF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tbl>
      <w:tblPr>
        <w:tblW w:w="0" w:type="auto"/>
        <w:jc w:val="center"/>
        <w:tblInd w:w="-5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0"/>
        <w:gridCol w:w="5244"/>
        <w:gridCol w:w="4285"/>
      </w:tblGrid>
      <w:tr w:rsidR="00453CF5" w:rsidTr="00453CF5">
        <w:trPr>
          <w:jc w:val="center"/>
        </w:trPr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CF5" w:rsidRDefault="0045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CF5" w:rsidRDefault="00453CF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CF5" w:rsidRDefault="00453CF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453CF5" w:rsidTr="00453CF5">
        <w:trPr>
          <w:jc w:val="center"/>
        </w:trPr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CF5" w:rsidRDefault="00453C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систематизировать материал, полученный на предыдущих уроках, применять теоретические знания о структуре СПП,  определять вид придаточного предложения,  расставлять знаки препинания в СПП, находить определяемое слово в СПП с придаточным определительным, выделять средства связи главной части и придаточной, узнавать СПП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 определительным в тексте.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CF5" w:rsidRDefault="00453CF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анализировать, рассуждать, доказывать, сравнивать, сворачивать и преобразовывать информацию.</w:t>
            </w:r>
          </w:p>
          <w:p w:rsidR="00453CF5" w:rsidRDefault="00453CF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формулировать тему, ставить цели, планировать свою работу, проводить самопроверку.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3CF5" w:rsidRDefault="00453CF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работать в группе, паре; уметь согласовывать свои действия друг с другом, слушать и слышать других; оказывать взаимопомощь; осуществлять поиск и сбор информации.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CF5" w:rsidRDefault="00453CF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совершенствованию своих умений. Осознание собственной значимости самоуважения личности;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нравственных качеств: чувства товарищества; деликатности; дисциплинированности; ответственности; способности сопереживать; воспитание познавательного интереса.</w:t>
            </w:r>
          </w:p>
        </w:tc>
      </w:tr>
    </w:tbl>
    <w:p w:rsidR="00453CF5" w:rsidRDefault="00453CF5" w:rsidP="00453CF5">
      <w:pPr>
        <w:pStyle w:val="1"/>
        <w:shd w:val="clear" w:color="auto" w:fill="auto"/>
        <w:spacing w:line="240" w:lineRule="auto"/>
        <w:ind w:right="20" w:firstLine="0"/>
        <w:rPr>
          <w:i/>
          <w:iCs/>
          <w:color w:val="000000"/>
          <w:sz w:val="24"/>
          <w:szCs w:val="24"/>
          <w:lang w:eastAsia="ru-RU"/>
        </w:rPr>
      </w:pPr>
    </w:p>
    <w:p w:rsidR="00453CF5" w:rsidRDefault="00453CF5" w:rsidP="00453CF5">
      <w:pPr>
        <w:pStyle w:val="1"/>
        <w:shd w:val="clear" w:color="auto" w:fill="auto"/>
        <w:spacing w:line="240" w:lineRule="auto"/>
        <w:ind w:right="20" w:firstLine="0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453CF5" w:rsidRDefault="00453CF5" w:rsidP="00453C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придаточные определительные </w:t>
      </w:r>
    </w:p>
    <w:p w:rsidR="00453CF5" w:rsidRDefault="00453CF5" w:rsidP="00453C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запятые между частями сложноподчиненного предложения</w:t>
      </w:r>
    </w:p>
    <w:p w:rsidR="00453CF5" w:rsidRDefault="00453CF5" w:rsidP="00453C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схемы сложноподчиненных предложений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определительными и изъяснительными</w:t>
      </w:r>
    </w:p>
    <w:p w:rsidR="00453CF5" w:rsidRDefault="00453CF5" w:rsidP="00453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453CF5" w:rsidRDefault="00453CF5" w:rsidP="00453CF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на практике</w:t>
      </w:r>
    </w:p>
    <w:p w:rsidR="00453CF5" w:rsidRDefault="00453CF5" w:rsidP="0045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W w:w="0" w:type="auto"/>
        <w:tblLook w:val="04A0"/>
      </w:tblPr>
      <w:tblGrid>
        <w:gridCol w:w="1885"/>
        <w:gridCol w:w="7694"/>
        <w:gridCol w:w="3399"/>
        <w:gridCol w:w="2375"/>
      </w:tblGrid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Оргмомент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к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9" w:rsidRDefault="00453CF5" w:rsidP="007933A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Всем известно, что </w:t>
            </w:r>
            <w:r w:rsidR="0079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друг друга всегда приносит успех.</w:t>
            </w:r>
          </w:p>
          <w:p w:rsidR="007933A9" w:rsidRDefault="007933A9" w:rsidP="007933A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будем следовать данному утверждению.</w:t>
            </w:r>
          </w:p>
          <w:p w:rsidR="00453CF5" w:rsidRDefault="00453CF5" w:rsidP="007933A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тетради, запишите число, классная 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настраиваются на работу, делают записи в тетради.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мобилизация внимания, уважение к окружающим.</w:t>
            </w:r>
          </w:p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1.Сложные предложения </w:t>
            </w:r>
            <w:proofErr w:type="gramStart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то…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2.ССП-это предложения</w:t>
            </w:r>
            <w:proofErr w:type="gramStart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связанные…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Союзами: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 xml:space="preserve">3.СПП </w:t>
            </w:r>
            <w:proofErr w:type="gramStart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 xml:space="preserve">то  </w:t>
            </w:r>
            <w:proofErr w:type="spellStart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предложения,связанные</w:t>
            </w:r>
            <w:proofErr w:type="spellEnd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Союзами: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4.Спп состоят из …части и …части</w:t>
            </w:r>
          </w:p>
          <w:p w:rsidR="00742D72" w:rsidRPr="00742D72" w:rsidRDefault="00742D72" w:rsidP="0074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72">
              <w:rPr>
                <w:rFonts w:ascii="Times New Roman" w:hAnsi="Times New Roman" w:cs="Times New Roman"/>
                <w:sz w:val="24"/>
                <w:szCs w:val="24"/>
              </w:rPr>
              <w:t xml:space="preserve">5.ССП отличаются от СПП </w:t>
            </w:r>
            <w:proofErr w:type="spellStart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42D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2C">
              <w:rPr>
                <w:rFonts w:ascii="Times New Roman" w:hAnsi="Times New Roman" w:cs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25pt;height:270pt" o:ole="">
                  <v:imagedata r:id="rId6" o:title=""/>
                </v:shape>
                <o:OLEObject Type="Embed" ProgID="PowerPoint.Slide.12" ShapeID="_x0000_i1025" DrawAspect="Content" ObjectID="_1748856050" r:id="rId7"/>
              </w:objec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Pr="007933A9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1 колонку таблицы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парах.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1.СПП – это предложения, в которых одно подчинено другому.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Части связаны подчинительными союзами и союзными словами.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В главном предложении бывают указательные слова, от которых задаётся вопрос к придаточному предложению.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Структура: главное и придаточное предложение.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5.Место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придаточного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неизменно, а может меняться.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В СПП может быть несколько придаточных предложений.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Между частями СПП ставится запятая.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Союз или союзное слово всегда находится в придаточном предложении.</w:t>
            </w:r>
          </w:p>
          <w:p w:rsidR="00453CF5" w:rsidRDefault="00453C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9.В схемах придаточное предложение заключается в круглые скобки.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интереса.</w:t>
            </w:r>
          </w:p>
          <w:p w:rsidR="00453CF5" w:rsidRDefault="004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и диалогической речи,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выражать свои  мысли, работать в паре; уметь согласовывать свои действия друг с другом, слушать и слышать других; оказывать взаимопомощь.</w:t>
            </w:r>
          </w:p>
          <w:p w:rsidR="00453CF5" w:rsidRDefault="004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рассуждать, обосновывать, доказывать, анализировать, делать выводы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таблицей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Постановка учебной задачи </w:t>
            </w: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7933A9" w:rsidRDefault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2C" w:rsidRPr="00AA742C" w:rsidRDefault="00AA742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2C">
              <w:rPr>
                <w:rFonts w:ascii="Times New Roman" w:hAnsi="Times New Roman" w:cs="Times New Roman"/>
                <w:sz w:val="24"/>
                <w:szCs w:val="24"/>
              </w:rPr>
              <w:t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 </w:t>
            </w:r>
            <w:r w:rsidRPr="00AA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читать и как понимать прочитанное – вот в чем главное».</w:t>
            </w:r>
            <w:r w:rsidRPr="00AA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42C" w:rsidRDefault="00AA742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2C" w:rsidRPr="00AA742C" w:rsidRDefault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2C" w:rsidRPr="00115E66" w:rsidRDefault="00AA742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Прочитайте текст и выполните задание к нему.</w:t>
            </w:r>
          </w:p>
          <w:p w:rsidR="00AA742C" w:rsidRPr="007933A9" w:rsidRDefault="00AA742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(1) На рубеже </w:t>
            </w:r>
            <w:r w:rsidRPr="0011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 веков во Франции жил Талейран </w:t>
            </w:r>
            <w:proofErr w:type="spellStart"/>
            <w:r w:rsidRPr="00115E66">
              <w:rPr>
                <w:rFonts w:ascii="Times New Roman" w:hAnsi="Times New Roman" w:cs="Times New Roman"/>
                <w:sz w:val="24"/>
                <w:szCs w:val="24"/>
              </w:rPr>
              <w:t>Перигор</w:t>
            </w:r>
            <w:proofErr w:type="spellEnd"/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отличился тем, что при разных правительствах неизменно оставался министром иностранных дел. (2) Этот человек всегда искал решение проблем </w:t>
            </w:r>
            <w:proofErr w:type="spellStart"/>
            <w:r w:rsidRPr="00115E66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gramStart"/>
            <w:r w:rsidRPr="00115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15E66">
              <w:rPr>
                <w:rFonts w:ascii="Times New Roman" w:hAnsi="Times New Roman" w:cs="Times New Roman"/>
                <w:sz w:val="24"/>
                <w:szCs w:val="24"/>
              </w:rPr>
              <w:t>оторое</w:t>
            </w:r>
            <w:proofErr w:type="spellEnd"/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 наименее ущемля</w:t>
            </w:r>
            <w:r w:rsidR="00115E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других людей, и при этом он сохранял свои собственные принципы. (3) Талейран всегда стремился к тому, чтобы можно было управлять ситуацией,  учитывая настроение окружающих.</w:t>
            </w:r>
          </w:p>
          <w:p w:rsidR="00115E66" w:rsidRPr="00115E66" w:rsidRDefault="00115E66" w:rsidP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>Укажите верную характеристику первого  предложения текста.</w:t>
            </w:r>
          </w:p>
          <w:p w:rsidR="00115E66" w:rsidRPr="00115E66" w:rsidRDefault="00115E66" w:rsidP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1) сложносочинённое </w:t>
            </w:r>
          </w:p>
          <w:p w:rsidR="00115E66" w:rsidRPr="00115E66" w:rsidRDefault="00115E66" w:rsidP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2) сложноподчинённое </w:t>
            </w:r>
          </w:p>
          <w:p w:rsidR="00115E66" w:rsidRPr="00115E66" w:rsidRDefault="00115E66" w:rsidP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Pr="00115E66" w:rsidRDefault="00AA742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Найдите СПП </w:t>
            </w:r>
            <w:proofErr w:type="gramStart"/>
            <w:r w:rsidRPr="0011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1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придаточным изъяснительным.</w:t>
            </w: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42C" w:rsidRPr="00115E66" w:rsidRDefault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2C" w:rsidRPr="00AA742C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66">
              <w:rPr>
                <w:rFonts w:ascii="Times New Roman" w:hAnsi="Times New Roman" w:cs="Times New Roman"/>
                <w:sz w:val="24"/>
                <w:szCs w:val="24"/>
              </w:rPr>
              <w:t>Словарная  работа:</w:t>
            </w:r>
          </w:p>
          <w:p w:rsidR="00115E66" w:rsidRPr="0019510A" w:rsidRDefault="00115E66" w:rsidP="0011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Восприятие-понимание</w:t>
            </w:r>
          </w:p>
          <w:p w:rsidR="00115E66" w:rsidRPr="0019510A" w:rsidRDefault="00115E66" w:rsidP="0011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Интерпретация- с лат</w:t>
            </w:r>
            <w:proofErr w:type="gramStart"/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столкование</w:t>
            </w:r>
          </w:p>
          <w:p w:rsidR="00115E66" w:rsidRPr="0019510A" w:rsidRDefault="00115E66" w:rsidP="0011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1951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лат. </w:t>
            </w:r>
            <w:proofErr w:type="spellStart"/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>informatio</w:t>
            </w:r>
            <w:proofErr w:type="spellEnd"/>
            <w:r w:rsidRPr="001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представление, понятие о чём-либо) о чём-то или о ком-то.</w:t>
            </w:r>
          </w:p>
          <w:p w:rsidR="00AA742C" w:rsidRPr="00AA742C" w:rsidRDefault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453CF5" w:rsidP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-Вернёмся, ребята, к тексту.</w:t>
            </w:r>
          </w:p>
          <w:p w:rsidR="006C27DB" w:rsidRPr="006C27DB" w:rsidRDefault="006C27DB" w:rsidP="006C27DB">
            <w:r w:rsidRPr="006C27DB">
              <w:rPr>
                <w:rFonts w:ascii="Arial" w:hAnsi="Arial" w:cs="Arial"/>
                <w:b/>
                <w:bCs/>
                <w:color w:val="000000"/>
                <w:kern w:val="24"/>
                <w:sz w:val="48"/>
                <w:szCs w:val="48"/>
                <w:u w:val="single"/>
              </w:rPr>
              <w:lastRenderedPageBreak/>
              <w:t xml:space="preserve"> </w:t>
            </w:r>
            <w:r w:rsidRPr="006C27DB">
              <w:rPr>
                <w:b/>
                <w:bCs/>
                <w:u w:val="single"/>
              </w:rPr>
              <w:t>Прочитайте текст и выполните задание к нему.</w:t>
            </w:r>
          </w:p>
          <w:p w:rsidR="006C27DB" w:rsidRPr="006C27DB" w:rsidRDefault="006C27DB" w:rsidP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(1) На рубеже </w:t>
            </w:r>
            <w:r w:rsidRPr="006C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веков во Франции жил Талейран 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Перигор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, который отличился тем, что при разных правительствах неизменно оставался министром иностранных дел. (2) Этот человек всегда искал решение проблем способом, наименее ущемляющим интересы других людей, и при этом он сохранял свои собственные принципы. (3) Талейран всегда стремился к тому, чтобы можно было управлять ситуацией,  учитывая настроение окружающих.</w:t>
            </w:r>
            <w:proofErr w:type="gramEnd"/>
          </w:p>
          <w:p w:rsidR="00B93004" w:rsidRPr="006C27DB" w:rsidRDefault="0098376D" w:rsidP="006C27DB">
            <w:pPr>
              <w:numPr>
                <w:ilvl w:val="0"/>
                <w:numId w:val="5"/>
              </w:numPr>
              <w:tabs>
                <w:tab w:val="clear" w:pos="720"/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 основную мысль текста</w:t>
            </w:r>
            <w:proofErr w:type="gramStart"/>
            <w:r w:rsidRPr="006C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6C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запишите одним предложением.</w:t>
            </w:r>
          </w:p>
          <w:p w:rsidR="00B93004" w:rsidRDefault="0098376D" w:rsidP="006C27DB">
            <w:pPr>
              <w:numPr>
                <w:ilvl w:val="0"/>
                <w:numId w:val="5"/>
              </w:numPr>
              <w:tabs>
                <w:tab w:val="clear" w:pos="720"/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называется такое качество человека?</w:t>
            </w: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7DB" w:rsidRPr="006C27DB" w:rsidRDefault="006C27DB" w:rsidP="0019510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object w:dxaOrig="7181" w:dyaOrig="5401">
                <v:shape id="_x0000_i1026" type="#_x0000_t75" style="width:359.25pt;height:270pt" o:ole="">
                  <v:imagedata r:id="rId8" o:title=""/>
                </v:shape>
                <o:OLEObject Type="Embed" ProgID="PowerPoint.Slide.12" ShapeID="_x0000_i1026" DrawAspect="Content" ObjectID="_1748856051" r:id="rId9"/>
              </w:objec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найдём гл</w:t>
            </w:r>
            <w:r w:rsidR="0019510A">
              <w:rPr>
                <w:rFonts w:ascii="Times New Roman" w:hAnsi="Times New Roman" w:cs="Times New Roman"/>
                <w:sz w:val="24"/>
                <w:szCs w:val="24"/>
              </w:rPr>
              <w:t>авные и придаточные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главного зададим вопрос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вы можете отметить в строении этих предложений?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какой вопрос отвечают эти придаточные предложения?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второстепенный член предложения отвечает на этот же вопрос?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выводу придём?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тема нашего урока?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цели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42C" w:rsidRDefault="00AA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E66" w:rsidRPr="00115E66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ссистенты зачитывают значения слов</w:t>
            </w:r>
          </w:p>
          <w:p w:rsidR="00115E66" w:rsidRPr="007933A9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66" w:rsidRPr="007933A9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66" w:rsidRPr="007933A9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66" w:rsidRPr="007933A9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66" w:rsidRDefault="0011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отвечает</w:t>
            </w:r>
            <w:proofErr w:type="gramStart"/>
            <w:r w:rsidR="00195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и зачитывает из словаря</w:t>
            </w:r>
            <w:r w:rsidR="0019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A">
              <w:rPr>
                <w:rFonts w:ascii="Times New Roman" w:hAnsi="Times New Roman" w:cs="Times New Roman"/>
                <w:sz w:val="24"/>
                <w:szCs w:val="24"/>
              </w:rPr>
              <w:t>зачение</w:t>
            </w:r>
            <w:proofErr w:type="spellEnd"/>
            <w:r w:rsidR="0019510A">
              <w:rPr>
                <w:rFonts w:ascii="Times New Roman" w:hAnsi="Times New Roman" w:cs="Times New Roman"/>
                <w:sz w:val="24"/>
                <w:szCs w:val="24"/>
              </w:rPr>
              <w:t xml:space="preserve"> этого понятия.</w:t>
            </w:r>
          </w:p>
          <w:p w:rsidR="0019510A" w:rsidRDefault="001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схеме.</w:t>
            </w: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P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Придаточное предложение стоит на втором месте, после главного предложения.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каком? Какую? Каким?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СПП похожи на определения.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тему урока.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СПП с придаточными определительными.</w:t>
            </w:r>
          </w:p>
          <w:p w:rsidR="00453CF5" w:rsidRDefault="00453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цели: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узнать особенности СПП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определительными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находить их в тексте и ставить знаки препинания.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тему, ставить цели, планировать свою работу.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нового. «Открытие» детьми нового знания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учебник. Ознакомьтесь с информацией на стр.60, прочитайте п.10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заполните таблицу.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 себя. Делаем вывод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="006C27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пределительных.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 с учебником, заполняют таблицу.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90"/>
              <w:gridCol w:w="1583"/>
            </w:tblGrid>
            <w:tr w:rsidR="00453CF5">
              <w:tc>
                <w:tcPr>
                  <w:tcW w:w="4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СПП с придаточными определительными</w:t>
                  </w:r>
                </w:p>
              </w:tc>
            </w:tr>
            <w:tr w:rsidR="00453CF5"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1.Вопрос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</w:t>
                  </w:r>
                </w:p>
              </w:tc>
            </w:tr>
            <w:tr w:rsidR="00453CF5"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2.Слово, от которого задаем вопрос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(часть речи)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 сущ.</w:t>
                  </w:r>
                </w:p>
              </w:tc>
            </w:tr>
            <w:tr w:rsidR="00453CF5"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3.Средства связи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Союзные слов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который, что, куда, где и др.)</w:t>
                  </w:r>
                </w:p>
              </w:tc>
            </w:tr>
            <w:tr w:rsidR="00453CF5"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4.Возможны указательные слова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453CF5"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5.Позиция по отношению к определяемому слову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CF5" w:rsidRDefault="00453C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определяемого слова (позиция любая)</w:t>
                  </w:r>
                </w:p>
              </w:tc>
            </w:tr>
          </w:tbl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Сверяют свою таблицу со слайдом презентации, делают вывод.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формирование познавательного интереса, воспитание нравственных качеств: чувства товарищества; деликатности; дисциплинированности;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ответственности; способности сопереживать.</w:t>
            </w:r>
            <w:proofErr w:type="gramEnd"/>
          </w:p>
          <w:p w:rsidR="00453CF5" w:rsidRDefault="004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сбор информации,умение выражать свои  мысли, работать в паре; уметь согласовывать свои действия друг с другом, слушать и слышать других; оказывать взаимопомощь.</w:t>
            </w:r>
          </w:p>
          <w:p w:rsidR="00453CF5" w:rsidRDefault="004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рассуждать, обосновывать, доказывать, анализировать, делать выводы.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таблицей.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немного отдохнём и поработаем устно. Я буду задавать вам вопросы, подразумевающие односложные ответы: «да», «нет». Если ответ подразумевает «да» - вы встаёте, если «нет»  – садитесь.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Сложноподчиненное предложение состоит из главного и придаточного предложения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а)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Придаточное предложение всегда стоит после главного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ет)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Придаточное определительное отвечает на </w:t>
            </w:r>
            <w:proofErr w:type="gramStart"/>
            <w:r>
              <w:rPr>
                <w:lang w:eastAsia="en-US"/>
              </w:rPr>
              <w:t>вопрос</w:t>
            </w:r>
            <w:proofErr w:type="gramEnd"/>
            <w:r>
              <w:rPr>
                <w:lang w:eastAsia="en-US"/>
              </w:rPr>
              <w:t>: какой? (да)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Части сложноподчиненного предложения равноправны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нет)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Придаточное предложение отделяется запятой или выделяется запятыми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да)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В сложноподчиненном предложении может быть несколько придаточных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да)</w:t>
            </w:r>
          </w:p>
          <w:p w:rsidR="00453CF5" w:rsidRDefault="00453CF5" w:rsidP="0019510A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proofErr w:type="gramStart"/>
            <w:r>
              <w:rPr>
                <w:lang w:eastAsia="en-US"/>
              </w:rPr>
              <w:t>придаточное</w:t>
            </w:r>
            <w:proofErr w:type="gramEnd"/>
            <w:r>
              <w:rPr>
                <w:lang w:eastAsia="en-US"/>
              </w:rPr>
              <w:t xml:space="preserve"> определительному вопрос задаётся от глагола (нет)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Встают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Встают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полученные знания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Закрепление опорных знаний</w:t>
            </w: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1.Тренировочные предложения.</w:t>
            </w:r>
          </w:p>
          <w:p w:rsidR="00453CF5" w:rsidRDefault="00453CF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Записать предложения, подчеркнуть грамматические основы, назвать средства связи, расставить знаки препинания, составить схемы предложений.</w:t>
            </w: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DB" w:rsidRDefault="00453CF5" w:rsidP="006C27DB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7DB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DB" w:rsidRPr="006C27DB">
              <w:t xml:space="preserve">буквы, расставить знаки препинания. Найдите </w:t>
            </w:r>
            <w:proofErr w:type="gramStart"/>
            <w:r w:rsidR="006C27DB" w:rsidRPr="006C27DB">
              <w:t>придаточные</w:t>
            </w:r>
            <w:proofErr w:type="gramEnd"/>
            <w:r w:rsidR="006C27DB" w:rsidRPr="006C27DB">
              <w:t xml:space="preserve"> определительные.</w:t>
            </w:r>
          </w:p>
          <w:p w:rsidR="006C27DB" w:rsidRPr="006C27DB" w:rsidRDefault="006C27DB" w:rsidP="006C27DB"/>
          <w:p w:rsidR="006C27DB" w:rsidRPr="006C27DB" w:rsidRDefault="006C27DB" w:rsidP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Надо стать таким 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сплоче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коллективом который бы </w:t>
            </w:r>
            <w:proofErr w:type="gram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об..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единялся</w:t>
            </w:r>
            <w:proofErr w:type="spellEnd"/>
            <w:proofErr w:type="gram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 общими целями. Нужно  относиться к  одноклассникам (по</w:t>
            </w:r>
            <w:proofErr w:type="gram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оброму  дружелюбно терпеливо. (Не</w:t>
            </w:r>
            <w:proofErr w:type="gram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озможно любить всех  (не)возможно 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нравит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всем (не)возможно чтобы все ребята класса  стали преданными друзьями. Но с теми кто разделяет твои убеждения надо 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  <w:proofErr w:type="gram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нас всех разные 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потребн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характеры вкусы т..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мперамент</w:t>
            </w:r>
            <w:proofErr w:type="spell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 но мы можем жить в согласи.. </w:t>
            </w:r>
          </w:p>
          <w:p w:rsidR="006C27DB" w:rsidRPr="006C27DB" w:rsidRDefault="006C27DB" w:rsidP="006C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друг  с другом </w:t>
            </w:r>
            <w:proofErr w:type="spell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Start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нить и уважать друг друга. </w:t>
            </w:r>
          </w:p>
          <w:p w:rsidR="00453CF5" w:rsidRDefault="00453CF5" w:rsidP="006C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зачем вы выполняли это задание? Какие выводы сделали?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Творческая работа в группах.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Исаака Ильича Левитана «Золотая осень» составить 3 СПП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предложения на  доске и в тетради, подчёркивают грамматические основы, определяют главное и придаточное предложение, расставляют знаки препинания, составляют схемы.</w:t>
            </w:r>
          </w:p>
          <w:p w:rsidR="00453CF5" w:rsidRDefault="00453CF5">
            <w:pPr>
              <w:pStyle w:val="a3"/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 смотрит седая скала в глубину, где ветер качает и гонит волну.</w:t>
            </w:r>
          </w:p>
          <w:p w:rsidR="00453CF5" w:rsidRDefault="00453CF5">
            <w:pPr>
              <w:pStyle w:val="a3"/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Дом, куда мы въехали, был построен в начале века.</w:t>
            </w:r>
          </w:p>
          <w:p w:rsidR="00453CF5" w:rsidRDefault="00453CF5">
            <w:pPr>
              <w:pStyle w:val="a3"/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Грош цена человеку, который не может сломить дурной привычки.</w:t>
            </w:r>
          </w:p>
          <w:p w:rsidR="00453CF5" w:rsidRDefault="00453CF5">
            <w:pPr>
              <w:pStyle w:val="a3"/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 боль, что скворчонком </w:t>
            </w:r>
            <w:r>
              <w:rPr>
                <w:i/>
                <w:lang w:eastAsia="en-US"/>
              </w:rPr>
              <w:lastRenderedPageBreak/>
              <w:t>стучала в виске, стихала.</w:t>
            </w:r>
          </w:p>
          <w:p w:rsidR="00453CF5" w:rsidRDefault="00453CF5">
            <w:pPr>
              <w:pStyle w:val="a3"/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дни, когда над сонным морем духота и тишина, в отуманенном просторе еле движется волна.</w:t>
            </w:r>
          </w:p>
          <w:p w:rsidR="00453CF5" w:rsidRDefault="00453CF5">
            <w:pPr>
              <w:pStyle w:val="a3"/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Он посмотрел в ту сторону, откуда раздался крик.</w:t>
            </w:r>
          </w:p>
          <w:p w:rsidR="00453CF5" w:rsidRDefault="00453CF5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6C27DB" w:rsidRDefault="006C27DB">
            <w:pPr>
              <w:pStyle w:val="a3"/>
              <w:jc w:val="both"/>
              <w:rPr>
                <w:lang w:eastAsia="en-US"/>
              </w:rPr>
            </w:pPr>
          </w:p>
          <w:p w:rsidR="00453CF5" w:rsidRDefault="00453CF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Работают в группах на время, кто больше составит предложений.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к совершенствованию своих умений. Осознание собственной значимости самоуважения личности;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нравственных качеств: чувства товарищества; деликатности; дисциплинированности; ответственности; способности сопереживать; воспитание познавательного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интереса, развитие творческих способностей.</w:t>
            </w:r>
          </w:p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рассуждать, преобразовывать информацию.</w:t>
            </w:r>
          </w:p>
          <w:p w:rsidR="00453CF5" w:rsidRDefault="004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самопроверку.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монологической и диалогической речи,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в группе,  уметь согласовывать свои действия друг с другом, слушать и слышать других; оказывать взаимопомощь..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ребята, вы проверьте и оцените себя.</w:t>
            </w:r>
          </w:p>
          <w:p w:rsidR="00000C25" w:rsidRDefault="0000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5" w:rsidRPr="00000C25" w:rsidRDefault="00000C25" w:rsidP="00000C25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000C25">
              <w:rPr>
                <w:b/>
                <w:bCs/>
                <w:sz w:val="24"/>
                <w:szCs w:val="24"/>
              </w:rPr>
              <w:t>каком варианте ответа правильно указаны все цифры, на месте которых в предложении должны стоять запятые?</w:t>
            </w:r>
          </w:p>
          <w:p w:rsidR="00000C25" w:rsidRPr="00000C25" w:rsidRDefault="00000C25" w:rsidP="00000C25">
            <w:pPr>
              <w:pStyle w:val="a4"/>
              <w:ind w:left="1440"/>
              <w:rPr>
                <w:sz w:val="24"/>
                <w:szCs w:val="24"/>
              </w:rPr>
            </w:pPr>
            <w:r w:rsidRPr="00000C25">
              <w:rPr>
                <w:sz w:val="24"/>
                <w:szCs w:val="24"/>
              </w:rPr>
              <w:t xml:space="preserve">  Терпимость(1)  не только смягчает противоречия(2)которые встречаются в жизни людей (3)но и выражает надежду на улучшение их  отношений(4) личностное исправление. </w:t>
            </w:r>
          </w:p>
          <w:p w:rsidR="004B7374" w:rsidRPr="004B7374" w:rsidRDefault="00000C25" w:rsidP="004B7374">
            <w:pPr>
              <w:pStyle w:val="a4"/>
              <w:numPr>
                <w:ilvl w:val="1"/>
                <w:numId w:val="1"/>
              </w:numPr>
            </w:pPr>
            <w:r w:rsidRPr="00000C25">
              <w:rPr>
                <w:sz w:val="24"/>
                <w:szCs w:val="24"/>
              </w:rPr>
              <w:t>Нетерпимость(1) опасна для мира(2)народы которого (3)стремятся к интеграции</w:t>
            </w:r>
            <w:r>
              <w:rPr>
                <w:sz w:val="24"/>
                <w:szCs w:val="24"/>
              </w:rPr>
              <w:t>.</w:t>
            </w:r>
          </w:p>
          <w:p w:rsidR="004B7374" w:rsidRDefault="004B7374" w:rsidP="004B7374">
            <w:pPr>
              <w:pStyle w:val="a4"/>
              <w:numPr>
                <w:ilvl w:val="1"/>
                <w:numId w:val="1"/>
              </w:numPr>
            </w:pPr>
            <w:r w:rsidRPr="004B7374">
              <w:rPr>
                <w:rFonts w:ascii="Arial" w:eastAsia="+mn-ea" w:hAnsi="Arial"/>
                <w:color w:val="000000"/>
                <w:kern w:val="24"/>
                <w:sz w:val="56"/>
                <w:szCs w:val="56"/>
              </w:rPr>
              <w:t xml:space="preserve"> </w:t>
            </w:r>
            <w:r w:rsidRPr="004B7374">
              <w:t xml:space="preserve">Если ты(1) проявляешь терпимость к чужим мнениям(2) верованиям(3) поведению(4) ты – толерантная личность. </w:t>
            </w:r>
          </w:p>
          <w:p w:rsidR="00814DAA" w:rsidRPr="004B7374" w:rsidRDefault="00814DAA" w:rsidP="004B7374">
            <w:pPr>
              <w:pStyle w:val="a4"/>
              <w:numPr>
                <w:ilvl w:val="1"/>
                <w:numId w:val="1"/>
              </w:numPr>
            </w:pPr>
            <w:r>
              <w:t xml:space="preserve">Сделайте вывод </w:t>
            </w:r>
            <w:proofErr w:type="gramStart"/>
            <w:r>
              <w:t>:К</w:t>
            </w:r>
            <w:proofErr w:type="gramEnd"/>
            <w:r>
              <w:t>акая вы личность?</w:t>
            </w:r>
          </w:p>
          <w:p w:rsidR="00453CF5" w:rsidRDefault="00814DAA" w:rsidP="004B7374">
            <w:pPr>
              <w:pStyle w:val="a4"/>
              <w:ind w:left="1440"/>
              <w:rPr>
                <w:sz w:val="24"/>
                <w:szCs w:val="24"/>
              </w:rPr>
            </w:pPr>
            <w:r w:rsidRPr="00814DAA">
              <w:rPr>
                <w:sz w:val="24"/>
                <w:szCs w:val="24"/>
              </w:rPr>
              <w:object w:dxaOrig="7181" w:dyaOrig="5401">
                <v:shape id="_x0000_i1027" type="#_x0000_t75" style="width:359.25pt;height:270pt" o:ole="">
                  <v:imagedata r:id="rId10" o:title=""/>
                </v:shape>
                <o:OLEObject Type="Embed" ProgID="PowerPoint.Slide.12" ShapeID="_x0000_i1027" DrawAspect="Content" ObjectID="_1748856052" r:id="rId11"/>
              </w:object>
            </w:r>
          </w:p>
          <w:p w:rsidR="004B7374" w:rsidRDefault="004B7374" w:rsidP="004B7374">
            <w:pPr>
              <w:pStyle w:val="a4"/>
              <w:ind w:left="144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0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записывают ответы.</w:t>
            </w:r>
          </w:p>
          <w:p w:rsidR="004B7374" w:rsidRDefault="004B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74" w:rsidRDefault="004B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74" w:rsidRDefault="004B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5" w:rsidRDefault="000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1.2 3 4</w:t>
            </w:r>
          </w:p>
          <w:p w:rsidR="00000C25" w:rsidRDefault="000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B7374" w:rsidRDefault="004B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3.2 3 4</w:t>
            </w:r>
          </w:p>
          <w:p w:rsidR="00000C25" w:rsidRDefault="0000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A" w:rsidRDefault="0081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A" w:rsidRDefault="0081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A" w:rsidRDefault="0081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A" w:rsidRDefault="0081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A" w:rsidRPr="00000C25" w:rsidRDefault="0081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определяют</w:t>
            </w:r>
            <w:r w:rsidR="0098376D">
              <w:rPr>
                <w:rFonts w:ascii="Times New Roman" w:hAnsi="Times New Roman" w:cs="Times New Roman"/>
                <w:sz w:val="24"/>
                <w:szCs w:val="24"/>
              </w:rPr>
              <w:t xml:space="preserve"> собсвенные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делают выводы о своей личности.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проводить самопроверку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графы «узнал» первой таблицы.</w:t>
            </w:r>
          </w:p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заключение урока давайте подведем итог – приём «Закончи предложение»</w:t>
            </w:r>
          </w:p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Сегодня на уроке мне было сложно…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 Сегодня на уроке мне было легко…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Сегодня на уроке мне понравилось…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парах. 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Узнали: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 значению СПП бывают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определительными, изъяснительными, обстоятельственными, присоединительными.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Придаточные определительные, их вопрос, место, средства связи.</w:t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Выступают.</w:t>
            </w:r>
          </w:p>
          <w:p w:rsidR="00453CF5" w:rsidRDefault="00453C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итог, заканчивая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анализировать, рассуждать, доказывать, преобразовывать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ценивать качество  результатов своей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выражать свои мысли, развитие монологической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успешности  в учебной деятельности</w:t>
            </w: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оценок.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F5" w:rsidTr="00453C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табл., упр.117, стр.62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F5" w:rsidRDefault="0045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5" w:rsidRDefault="0045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CF5" w:rsidRDefault="00453CF5" w:rsidP="00453CF5">
      <w:pPr>
        <w:spacing w:after="0"/>
        <w:rPr>
          <w:rFonts w:ascii="Times New Roman" w:hAnsi="Times New Roman" w:cs="Times New Roman"/>
          <w:sz w:val="24"/>
          <w:szCs w:val="24"/>
        </w:rPr>
        <w:sectPr w:rsidR="00453CF5" w:rsidSect="00453CF5">
          <w:pgSz w:w="16838" w:h="11906" w:orient="landscape"/>
          <w:pgMar w:top="1701" w:right="567" w:bottom="567" w:left="1134" w:header="709" w:footer="709" w:gutter="0"/>
          <w:cols w:space="720"/>
        </w:sectPr>
      </w:pPr>
    </w:p>
    <w:p w:rsidR="005630AD" w:rsidRDefault="005630AD"/>
    <w:sectPr w:rsidR="005630AD" w:rsidSect="00453CF5">
      <w:pgSz w:w="16838" w:h="11906" w:orient="landscape"/>
      <w:pgMar w:top="170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A74"/>
    <w:multiLevelType w:val="multilevel"/>
    <w:tmpl w:val="846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F238D"/>
    <w:multiLevelType w:val="multilevel"/>
    <w:tmpl w:val="471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2538E"/>
    <w:multiLevelType w:val="hybridMultilevel"/>
    <w:tmpl w:val="75407A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04480"/>
    <w:multiLevelType w:val="hybridMultilevel"/>
    <w:tmpl w:val="40BE0F04"/>
    <w:lvl w:ilvl="0" w:tplc="559811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AC4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47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CD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84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C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0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61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72671"/>
    <w:multiLevelType w:val="hybridMultilevel"/>
    <w:tmpl w:val="E36E750E"/>
    <w:lvl w:ilvl="0" w:tplc="9818434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BC"/>
    <w:rsid w:val="00000C25"/>
    <w:rsid w:val="00115E66"/>
    <w:rsid w:val="0019510A"/>
    <w:rsid w:val="00291CBE"/>
    <w:rsid w:val="00453CF5"/>
    <w:rsid w:val="004B7374"/>
    <w:rsid w:val="004C24D2"/>
    <w:rsid w:val="00502AAD"/>
    <w:rsid w:val="005630AD"/>
    <w:rsid w:val="00683118"/>
    <w:rsid w:val="006C27DB"/>
    <w:rsid w:val="00742D72"/>
    <w:rsid w:val="007933A9"/>
    <w:rsid w:val="007F6417"/>
    <w:rsid w:val="00814DAA"/>
    <w:rsid w:val="0098376D"/>
    <w:rsid w:val="00A335BC"/>
    <w:rsid w:val="00A822B4"/>
    <w:rsid w:val="00AA742C"/>
    <w:rsid w:val="00B9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CF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_"/>
    <w:link w:val="1"/>
    <w:uiPriority w:val="99"/>
    <w:locked/>
    <w:rsid w:val="00453CF5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1">
    <w:name w:val="Основной текст1"/>
    <w:basedOn w:val="a"/>
    <w:link w:val="a5"/>
    <w:uiPriority w:val="99"/>
    <w:rsid w:val="00453CF5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table" w:styleId="a6">
    <w:name w:val="Table Grid"/>
    <w:basedOn w:val="a1"/>
    <w:uiPriority w:val="59"/>
    <w:rsid w:val="004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CF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_"/>
    <w:link w:val="1"/>
    <w:uiPriority w:val="99"/>
    <w:locked/>
    <w:rsid w:val="00453CF5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1">
    <w:name w:val="Основной текст1"/>
    <w:basedOn w:val="a"/>
    <w:link w:val="a5"/>
    <w:uiPriority w:val="99"/>
    <w:rsid w:val="00453CF5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table" w:styleId="a6">
    <w:name w:val="Table Grid"/>
    <w:basedOn w:val="a1"/>
    <w:uiPriority w:val="59"/>
    <w:rsid w:val="004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4E66-4094-4E4C-B6C6-33F2DAF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Titarenko</cp:lastModifiedBy>
  <cp:revision>15</cp:revision>
  <dcterms:created xsi:type="dcterms:W3CDTF">2021-10-28T11:59:00Z</dcterms:created>
  <dcterms:modified xsi:type="dcterms:W3CDTF">2023-06-21T08:34:00Z</dcterms:modified>
</cp:coreProperties>
</file>